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5E353" w14:textId="6D8A8710" w:rsidR="00880059" w:rsidRPr="00517F41" w:rsidRDefault="00880059" w:rsidP="00BA2F81">
      <w:pPr>
        <w:jc w:val="both"/>
        <w:rPr>
          <w:b/>
          <w:strike/>
          <w:sz w:val="28"/>
        </w:rPr>
      </w:pPr>
      <w:r w:rsidRPr="00517F41">
        <w:rPr>
          <w:b/>
          <w:sz w:val="28"/>
        </w:rPr>
        <w:t xml:space="preserve">Kağıt ve Ambalaj </w:t>
      </w:r>
      <w:r w:rsidR="004A1847" w:rsidRPr="00517F41">
        <w:rPr>
          <w:b/>
          <w:sz w:val="28"/>
        </w:rPr>
        <w:t>ü</w:t>
      </w:r>
      <w:r w:rsidRPr="00517F41">
        <w:rPr>
          <w:b/>
          <w:sz w:val="28"/>
        </w:rPr>
        <w:t xml:space="preserve">reticileri </w:t>
      </w:r>
      <w:r w:rsidR="004A1847" w:rsidRPr="00517F41">
        <w:rPr>
          <w:b/>
          <w:sz w:val="28"/>
        </w:rPr>
        <w:t xml:space="preserve">önümüzdeki senelerde pazarda ne gibi değişler </w:t>
      </w:r>
      <w:r w:rsidRPr="00517F41">
        <w:rPr>
          <w:b/>
          <w:sz w:val="28"/>
        </w:rPr>
        <w:t xml:space="preserve">beklemeli? </w:t>
      </w:r>
      <w:r w:rsidR="00D5041D" w:rsidRPr="00517F41">
        <w:rPr>
          <w:b/>
          <w:sz w:val="28"/>
        </w:rPr>
        <w:t xml:space="preserve">Trendlerin satış ve müşteri </w:t>
      </w:r>
      <w:r w:rsidR="00BA2F81" w:rsidRPr="00517F41">
        <w:rPr>
          <w:b/>
          <w:sz w:val="28"/>
        </w:rPr>
        <w:t>ekosistemine</w:t>
      </w:r>
      <w:r w:rsidR="00476834" w:rsidRPr="00517F41">
        <w:rPr>
          <w:b/>
          <w:sz w:val="28"/>
        </w:rPr>
        <w:t xml:space="preserve"> </w:t>
      </w:r>
      <w:r w:rsidR="00D5041D" w:rsidRPr="00517F41">
        <w:rPr>
          <w:b/>
          <w:sz w:val="28"/>
        </w:rPr>
        <w:t>etkilerine nasıl cevap verilmeli?</w:t>
      </w:r>
      <w:r w:rsidRPr="00517F41">
        <w:rPr>
          <w:b/>
          <w:sz w:val="28"/>
        </w:rPr>
        <w:t xml:space="preserve"> </w:t>
      </w:r>
    </w:p>
    <w:p w14:paraId="2A1EB6A7" w14:textId="77777777" w:rsidR="00A150AC" w:rsidRPr="00517F41" w:rsidRDefault="004A1847" w:rsidP="00BA2F81">
      <w:pPr>
        <w:jc w:val="both"/>
      </w:pPr>
      <w:r w:rsidRPr="00517F41">
        <w:t>S</w:t>
      </w:r>
      <w:r w:rsidR="005A6F27" w:rsidRPr="00517F41">
        <w:t xml:space="preserve">on </w:t>
      </w:r>
      <w:r w:rsidR="000B22DB" w:rsidRPr="00517F41">
        <w:t xml:space="preserve">5 </w:t>
      </w:r>
      <w:r w:rsidR="005A6F27" w:rsidRPr="00517F41">
        <w:t>yılda</w:t>
      </w:r>
      <w:r w:rsidR="00880059" w:rsidRPr="00517F41">
        <w:t xml:space="preserve"> kağıt ve ambalaj sektörü için en</w:t>
      </w:r>
      <w:r w:rsidR="009A2D4C" w:rsidRPr="00517F41">
        <w:t xml:space="preserve"> </w:t>
      </w:r>
      <w:r w:rsidR="00635E8A" w:rsidRPr="00517F41">
        <w:t>önemli</w:t>
      </w:r>
      <w:r w:rsidR="00880059" w:rsidRPr="00517F41">
        <w:t xml:space="preserve"> </w:t>
      </w:r>
      <w:r w:rsidR="00635E8A" w:rsidRPr="00517F41">
        <w:t>iki trend</w:t>
      </w:r>
      <w:r w:rsidR="00880059" w:rsidRPr="00517F41">
        <w:t xml:space="preserve"> </w:t>
      </w:r>
      <w:r w:rsidRPr="00517F41">
        <w:t>dikkat çekiyor: Sürdürülebilirlik ve Dijitalleşme</w:t>
      </w:r>
      <w:r w:rsidR="00880059" w:rsidRPr="00517F41">
        <w:t xml:space="preserve">. </w:t>
      </w:r>
      <w:r w:rsidRPr="00517F41">
        <w:t>G</w:t>
      </w:r>
      <w:r w:rsidR="00635E8A" w:rsidRPr="00517F41">
        <w:t xml:space="preserve">erçekleştirdiğimiz </w:t>
      </w:r>
      <w:r w:rsidRPr="00517F41">
        <w:t xml:space="preserve">projeler </w:t>
      </w:r>
      <w:r w:rsidR="00B12744" w:rsidRPr="00517F41">
        <w:t>ve sektörün önemli oyuncuları</w:t>
      </w:r>
      <w:r w:rsidR="000C7403" w:rsidRPr="00517F41">
        <w:t xml:space="preserve">nın katıldığı </w:t>
      </w:r>
      <w:r w:rsidRPr="00517F41">
        <w:t xml:space="preserve">araştırmalarımızda özellikle bu </w:t>
      </w:r>
      <w:r w:rsidR="006F07C3" w:rsidRPr="00517F41">
        <w:t xml:space="preserve">trendlerin </w:t>
      </w:r>
      <w:r w:rsidR="00B12744" w:rsidRPr="00517F41">
        <w:t xml:space="preserve">öneminin </w:t>
      </w:r>
      <w:r w:rsidR="00C5793E" w:rsidRPr="00517F41">
        <w:t>giderek</w:t>
      </w:r>
      <w:r w:rsidR="00B12744" w:rsidRPr="00517F41">
        <w:t xml:space="preserve"> arttığını ve</w:t>
      </w:r>
      <w:r w:rsidR="00635E8A" w:rsidRPr="00517F41">
        <w:t xml:space="preserve"> önümüzdeki 3</w:t>
      </w:r>
      <w:r w:rsidR="006F07C3" w:rsidRPr="00517F41">
        <w:t xml:space="preserve"> yıl içerisinde </w:t>
      </w:r>
      <w:r w:rsidR="00A37827" w:rsidRPr="00517F41">
        <w:t xml:space="preserve">daha da kuvvetlenerek </w:t>
      </w:r>
      <w:r w:rsidR="009A2D4C" w:rsidRPr="00517F41">
        <w:t>üreticilerin</w:t>
      </w:r>
      <w:r w:rsidR="006F07C3" w:rsidRPr="00517F41">
        <w:t xml:space="preserve"> ürün yönetimi, değer zinciri, satış ve fiyatlandırma süreçlerine direkt olarak etki edeceğini </w:t>
      </w:r>
      <w:r w:rsidR="00A37827" w:rsidRPr="00517F41">
        <w:t>ön görüyoruz</w:t>
      </w:r>
      <w:r w:rsidR="006F07C3" w:rsidRPr="00517F41">
        <w:t>.</w:t>
      </w:r>
      <w:r w:rsidR="00A37827" w:rsidRPr="00517F41">
        <w:t xml:space="preserve"> Olağan gidişata ek olarak p</w:t>
      </w:r>
      <w:r w:rsidR="000B22DB" w:rsidRPr="00517F41">
        <w:t xml:space="preserve">andemi </w:t>
      </w:r>
      <w:r w:rsidR="00A37827" w:rsidRPr="00517F41">
        <w:t>(özellikle dijitalleşmede)</w:t>
      </w:r>
      <w:r w:rsidR="000B22DB" w:rsidRPr="00517F41">
        <w:t xml:space="preserve"> bu iki trendin yaygınlaşmasında </w:t>
      </w:r>
      <w:r w:rsidRPr="00517F41">
        <w:t>ve hızlanmasında önemi rol oynuyor</w:t>
      </w:r>
      <w:r w:rsidR="000B22DB" w:rsidRPr="00517F41">
        <w:t xml:space="preserve">. </w:t>
      </w:r>
      <w:r w:rsidR="009A2D4C" w:rsidRPr="00517F41">
        <w:t xml:space="preserve">Peki şirketler pandemi ile </w:t>
      </w:r>
      <w:r w:rsidR="005A6F27" w:rsidRPr="00517F41">
        <w:t>hız kazanan</w:t>
      </w:r>
      <w:r w:rsidR="00635E8A" w:rsidRPr="00517F41">
        <w:t xml:space="preserve"> sürdürülebilirlik ve dijitalizasyon</w:t>
      </w:r>
      <w:r w:rsidR="009A2D4C" w:rsidRPr="00517F41">
        <w:t xml:space="preserve"> </w:t>
      </w:r>
      <w:r w:rsidR="00635E8A" w:rsidRPr="00517F41">
        <w:t>trendlerinin etkilerine</w:t>
      </w:r>
      <w:r w:rsidR="009A2D4C" w:rsidRPr="00517F41">
        <w:t xml:space="preserve"> nasıl adapte </w:t>
      </w:r>
      <w:r w:rsidR="00A37827" w:rsidRPr="00517F41">
        <w:t>olabilirler</w:t>
      </w:r>
      <w:r w:rsidR="008C3D34" w:rsidRPr="00517F41">
        <w:t>?</w:t>
      </w:r>
      <w:r w:rsidR="009A2D4C" w:rsidRPr="00517F41">
        <w:t xml:space="preserve"> Trendler ile </w:t>
      </w:r>
      <w:r w:rsidR="00A37827" w:rsidRPr="00517F41">
        <w:t>değişen satın alma davranışları</w:t>
      </w:r>
      <w:r w:rsidR="009A2D4C" w:rsidRPr="00517F41">
        <w:t xml:space="preserve"> nasıl fırsata </w:t>
      </w:r>
      <w:r w:rsidR="000C7403" w:rsidRPr="00517F41">
        <w:t>çevrile</w:t>
      </w:r>
      <w:r w:rsidR="00A37827" w:rsidRPr="00517F41">
        <w:t>bilir</w:t>
      </w:r>
      <w:r w:rsidR="009A2D4C" w:rsidRPr="00517F41">
        <w:t>?</w:t>
      </w:r>
    </w:p>
    <w:p w14:paraId="1E028565" w14:textId="2BB1CFA1" w:rsidR="009A2D4C" w:rsidRPr="00517F41" w:rsidRDefault="00E524F9" w:rsidP="00BA2F81">
      <w:pPr>
        <w:jc w:val="both"/>
      </w:pPr>
      <w:r w:rsidRPr="00517F41">
        <w:rPr>
          <w:noProof/>
          <w:lang w:eastAsia="tr-TR"/>
        </w:rPr>
        <w:drawing>
          <wp:inline distT="0" distB="0" distL="0" distR="0" wp14:anchorId="65329830" wp14:editId="61055961">
            <wp:extent cx="5943600" cy="2838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71C8B" w14:textId="3EED8052" w:rsidR="00BA2F81" w:rsidRPr="00517F41" w:rsidRDefault="00BA2F81" w:rsidP="00525CCD">
      <w:pPr>
        <w:jc w:val="center"/>
        <w:rPr>
          <w:i/>
          <w:iCs/>
          <w:sz w:val="20"/>
          <w:szCs w:val="20"/>
        </w:rPr>
      </w:pPr>
      <w:r w:rsidRPr="00517F41">
        <w:rPr>
          <w:i/>
          <w:iCs/>
          <w:sz w:val="20"/>
          <w:szCs w:val="20"/>
        </w:rPr>
        <w:t>Görsel 1: Avrupa Kağıt ve Ambalaj Sektörü Konferansında Öne Çıkan Trendler Anketi</w:t>
      </w:r>
    </w:p>
    <w:p w14:paraId="61C434A7" w14:textId="77777777" w:rsidR="00E243D4" w:rsidRPr="00517F41" w:rsidRDefault="004A1847" w:rsidP="00BA2F81">
      <w:pPr>
        <w:jc w:val="both"/>
        <w:rPr>
          <w:b/>
        </w:rPr>
      </w:pPr>
      <w:r w:rsidRPr="00517F41">
        <w:rPr>
          <w:b/>
        </w:rPr>
        <w:t>Sürdürülebilirlik: D</w:t>
      </w:r>
      <w:r w:rsidR="00E243D4" w:rsidRPr="00517F41">
        <w:rPr>
          <w:b/>
        </w:rPr>
        <w:t>eğer zincirini</w:t>
      </w:r>
      <w:r w:rsidR="00005A56" w:rsidRPr="00517F41">
        <w:rPr>
          <w:b/>
        </w:rPr>
        <w:t>n müşteri ayağında</w:t>
      </w:r>
      <w:r w:rsidR="00E243D4" w:rsidRPr="00517F41">
        <w:rPr>
          <w:b/>
        </w:rPr>
        <w:t xml:space="preserve"> taleplerin artmasıyla daha da güçlenerek baskınlığını devam ettiriyor.</w:t>
      </w:r>
    </w:p>
    <w:p w14:paraId="3F24D704" w14:textId="0ED1BE7A" w:rsidR="009A2D4C" w:rsidRPr="00517F41" w:rsidRDefault="009A2D4C" w:rsidP="00BA2F81">
      <w:pPr>
        <w:jc w:val="both"/>
      </w:pPr>
      <w:r w:rsidRPr="00517F41">
        <w:t>Sürdürülebilirlik trendi 2010</w:t>
      </w:r>
      <w:r w:rsidR="00293781" w:rsidRPr="00517F41">
        <w:t>’</w:t>
      </w:r>
      <w:r w:rsidRPr="00517F41">
        <w:t xml:space="preserve">lu yıllar süresince genellikle hükümetler, regülasyonlar ve kurumsal </w:t>
      </w:r>
      <w:r w:rsidR="005A6F27" w:rsidRPr="00517F41">
        <w:t xml:space="preserve">sorumluluk aktiviteleri ile beslenen </w:t>
      </w:r>
      <w:r w:rsidRPr="00517F41">
        <w:t>bir trend oldu. Ancak son yıllarda trendin belirleyicil</w:t>
      </w:r>
      <w:r w:rsidR="00AE78D2" w:rsidRPr="00517F41">
        <w:t>erinin değiştiğini,</w:t>
      </w:r>
      <w:r w:rsidRPr="00517F41">
        <w:t xml:space="preserve"> artık satın alma yapan şirketlerin de sürdürülebilir opsiyonlar arayışına geçtiğini görüyoruz.</w:t>
      </w:r>
      <w:r w:rsidR="004978EC" w:rsidRPr="00517F41">
        <w:t xml:space="preserve"> </w:t>
      </w:r>
      <w:r w:rsidR="00635E8A" w:rsidRPr="00517F41">
        <w:t>Tüketici ürünleri sektörünün</w:t>
      </w:r>
      <w:r w:rsidR="00B96B5F" w:rsidRPr="00517F41">
        <w:t>;</w:t>
      </w:r>
      <w:r w:rsidR="00635E8A" w:rsidRPr="00517F41">
        <w:t xml:space="preserve"> P&amp;G, Pepsi,</w:t>
      </w:r>
      <w:r w:rsidR="00293781" w:rsidRPr="00517F41">
        <w:t xml:space="preserve"> Unilever gibi büyük oyuncuları</w:t>
      </w:r>
      <w:r w:rsidR="00635E8A" w:rsidRPr="00517F41">
        <w:t xml:space="preserve"> 100% geri dönüşüml</w:t>
      </w:r>
      <w:r w:rsidR="00D5565E" w:rsidRPr="00517F41">
        <w:t>ü veya doğada çözün</w:t>
      </w:r>
      <w:r w:rsidR="00635E8A" w:rsidRPr="00517F41">
        <w:t>me hızı y</w:t>
      </w:r>
      <w:r w:rsidR="005A6F27" w:rsidRPr="00517F41">
        <w:t xml:space="preserve">üksek ürün satın alma </w:t>
      </w:r>
      <w:r w:rsidR="00BA2F81" w:rsidRPr="00517F41">
        <w:t>hedefleri</w:t>
      </w:r>
      <w:r w:rsidR="005A6F27" w:rsidRPr="00517F41">
        <w:t xml:space="preserve"> </w:t>
      </w:r>
      <w:r w:rsidR="00D5041D" w:rsidRPr="00517F41">
        <w:t>ve</w:t>
      </w:r>
      <w:r w:rsidR="005A6F27" w:rsidRPr="00517F41">
        <w:t xml:space="preserve"> CEFLEX gibi organizasyonların </w:t>
      </w:r>
      <w:r w:rsidR="009F3334" w:rsidRPr="00517F41">
        <w:t>inisiyatifleri</w:t>
      </w:r>
      <w:r w:rsidR="005A6F27" w:rsidRPr="00517F41">
        <w:t xml:space="preserve"> sürdür</w:t>
      </w:r>
      <w:r w:rsidR="00D5565E" w:rsidRPr="00517F41">
        <w:t>ü</w:t>
      </w:r>
      <w:r w:rsidR="005A6F27" w:rsidRPr="00517F41">
        <w:t xml:space="preserve">lebilirliğin etkisinin </w:t>
      </w:r>
      <w:r w:rsidR="00293781" w:rsidRPr="00517F41">
        <w:t xml:space="preserve">artacağına </w:t>
      </w:r>
      <w:r w:rsidR="005A6F27" w:rsidRPr="00517F41">
        <w:t>işaret ediyor</w:t>
      </w:r>
      <w:r w:rsidR="00635E8A" w:rsidRPr="00517F41">
        <w:t xml:space="preserve">. </w:t>
      </w:r>
      <w:r w:rsidR="00D5041D" w:rsidRPr="00517F41">
        <w:t>Bu</w:t>
      </w:r>
      <w:r w:rsidR="00635E8A" w:rsidRPr="00517F41">
        <w:t xml:space="preserve"> inisiyatiflerin</w:t>
      </w:r>
      <w:r w:rsidR="00E651CB" w:rsidRPr="00517F41">
        <w:t xml:space="preserve"> </w:t>
      </w:r>
      <w:r w:rsidR="00635E8A" w:rsidRPr="00517F41">
        <w:t>sonucu olarak son yıllarda sür</w:t>
      </w:r>
      <w:r w:rsidR="004978EC" w:rsidRPr="00517F41">
        <w:t xml:space="preserve">dürülebilir </w:t>
      </w:r>
      <w:r w:rsidR="0043259E" w:rsidRPr="00517F41">
        <w:t>opsiyonlar için %8</w:t>
      </w:r>
      <w:r w:rsidR="004978EC" w:rsidRPr="00517F41">
        <w:t xml:space="preserve"> oranında daha yüksek bir ödeme istekliliği </w:t>
      </w:r>
      <w:r w:rsidR="00D5041D" w:rsidRPr="00517F41">
        <w:t>görüyoruz</w:t>
      </w:r>
      <w:r w:rsidR="004978EC" w:rsidRPr="00517F41">
        <w:t xml:space="preserve">. </w:t>
      </w:r>
      <w:r w:rsidR="00635E8A" w:rsidRPr="00517F41">
        <w:t xml:space="preserve">Ödeme istekliliğindeki artış </w:t>
      </w:r>
      <w:r w:rsidR="00E651CB" w:rsidRPr="00517F41">
        <w:t xml:space="preserve">2025 ve 2030 </w:t>
      </w:r>
      <w:r w:rsidR="00635E8A" w:rsidRPr="00517F41">
        <w:t>hedefler</w:t>
      </w:r>
      <w:r w:rsidR="00E651CB" w:rsidRPr="00517F41">
        <w:t>i</w:t>
      </w:r>
      <w:r w:rsidR="00D5041D" w:rsidRPr="00517F41">
        <w:t>ne yaklaştıkça</w:t>
      </w:r>
      <w:r w:rsidR="00B96B5F" w:rsidRPr="00517F41">
        <w:t xml:space="preserve"> daha da yükselecek ve bu dönemde</w:t>
      </w:r>
      <w:r w:rsidR="004978EC" w:rsidRPr="00517F41">
        <w:t xml:space="preserve"> </w:t>
      </w:r>
      <w:r w:rsidR="009D1B85" w:rsidRPr="00517F41">
        <w:t>sürdürülebilirlik</w:t>
      </w:r>
      <w:r w:rsidR="00B96B5F" w:rsidRPr="00517F41">
        <w:t>, satın alma süreçlerinde</w:t>
      </w:r>
      <w:r w:rsidR="009D1B85" w:rsidRPr="00517F41">
        <w:t xml:space="preserve"> </w:t>
      </w:r>
      <w:r w:rsidR="00635E8A" w:rsidRPr="00517F41">
        <w:t>daha da</w:t>
      </w:r>
      <w:r w:rsidR="004978EC" w:rsidRPr="00517F41">
        <w:t xml:space="preserve"> kritik bir karar noktası olacak. </w:t>
      </w:r>
    </w:p>
    <w:p w14:paraId="2A5EE8B2" w14:textId="77777777" w:rsidR="00BA2F81" w:rsidRPr="00517F41" w:rsidRDefault="00BA2F81" w:rsidP="00BA2F81">
      <w:pPr>
        <w:jc w:val="both"/>
      </w:pPr>
    </w:p>
    <w:p w14:paraId="1BB4FBF1" w14:textId="2112E321" w:rsidR="00537EE7" w:rsidRPr="00517F41" w:rsidRDefault="00A26784" w:rsidP="00BA2F81">
      <w:pPr>
        <w:jc w:val="both"/>
      </w:pPr>
      <w:r w:rsidRPr="00517F41">
        <w:rPr>
          <w:noProof/>
          <w:lang w:eastAsia="tr-TR"/>
        </w:rPr>
        <w:lastRenderedPageBreak/>
        <w:drawing>
          <wp:inline distT="0" distB="0" distL="0" distR="0" wp14:anchorId="2542C651" wp14:editId="0DBED05E">
            <wp:extent cx="5943600" cy="273812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039D5" w14:textId="4029E699" w:rsidR="00BA2F81" w:rsidRPr="00517F41" w:rsidRDefault="00BA2F81" w:rsidP="00525CCD">
      <w:pPr>
        <w:jc w:val="center"/>
        <w:rPr>
          <w:i/>
          <w:iCs/>
          <w:sz w:val="20"/>
          <w:szCs w:val="20"/>
        </w:rPr>
      </w:pPr>
      <w:r w:rsidRPr="00517F41">
        <w:rPr>
          <w:i/>
          <w:iCs/>
          <w:sz w:val="20"/>
          <w:szCs w:val="20"/>
        </w:rPr>
        <w:t>Görsel 2: Sürdürülebilirlik Belirleyicileri ve Firmaların Tepkileri</w:t>
      </w:r>
    </w:p>
    <w:p w14:paraId="0932043A" w14:textId="77777777" w:rsidR="004978EC" w:rsidRPr="00517F41" w:rsidRDefault="009F3334" w:rsidP="00BA2F81">
      <w:pPr>
        <w:jc w:val="both"/>
      </w:pPr>
      <w:r w:rsidRPr="00517F41">
        <w:t>Bu değişimlere rağmen sektö</w:t>
      </w:r>
      <w:r w:rsidR="003B4718" w:rsidRPr="00517F41">
        <w:t>r</w:t>
      </w:r>
      <w:r w:rsidRPr="00517F41">
        <w:t xml:space="preserve">deki oyuncuların </w:t>
      </w:r>
      <w:r w:rsidR="00A37827" w:rsidRPr="00517F41">
        <w:t>büyük kısmının sürdürülebilirli</w:t>
      </w:r>
      <w:r w:rsidR="003B4718" w:rsidRPr="00517F41">
        <w:t>k</w:t>
      </w:r>
      <w:r w:rsidR="00A37827" w:rsidRPr="00517F41">
        <w:t xml:space="preserve"> konusuna yönelik</w:t>
      </w:r>
      <w:r w:rsidRPr="00517F41">
        <w:t xml:space="preserve"> pro-aktif olarak </w:t>
      </w:r>
      <w:r w:rsidR="003B4718" w:rsidRPr="00517F41">
        <w:t>strateji</w:t>
      </w:r>
      <w:r w:rsidRPr="00517F41">
        <w:t xml:space="preserve"> geliştirmediğini </w:t>
      </w:r>
      <w:r w:rsidR="004A1847" w:rsidRPr="00517F41">
        <w:t>görüyoruz</w:t>
      </w:r>
      <w:r w:rsidRPr="00517F41">
        <w:t xml:space="preserve">. </w:t>
      </w:r>
      <w:r w:rsidR="00D5041D" w:rsidRPr="00517F41">
        <w:t xml:space="preserve">SKP olarak sürdürülebilirliğin getirdiği fırsatları yakalamalarına yardımcı olarak birçok şirketi dönüşümlerinde </w:t>
      </w:r>
      <w:r w:rsidR="00D62674" w:rsidRPr="00517F41">
        <w:t>destekliyoruz</w:t>
      </w:r>
      <w:r w:rsidR="00D5041D" w:rsidRPr="00517F41">
        <w:t xml:space="preserve">. </w:t>
      </w:r>
      <w:r w:rsidR="00A37827" w:rsidRPr="00517F41">
        <w:t xml:space="preserve">Kapsamlı proje ve sektör tecrübemiz doğrultusunda </w:t>
      </w:r>
      <w:r w:rsidR="004215BB" w:rsidRPr="00517F41">
        <w:t xml:space="preserve">kağıt ve ambalaj </w:t>
      </w:r>
      <w:r w:rsidR="00A37827" w:rsidRPr="00517F41">
        <w:t>üreticilerin</w:t>
      </w:r>
      <w:r w:rsidR="004215BB" w:rsidRPr="00517F41">
        <w:t>in</w:t>
      </w:r>
      <w:r w:rsidR="004978EC" w:rsidRPr="00517F41">
        <w:t xml:space="preserve"> alması gereken </w:t>
      </w:r>
      <w:r w:rsidRPr="00517F41">
        <w:t>4 önemli aksiyonu</w:t>
      </w:r>
      <w:r w:rsidR="00A37827" w:rsidRPr="00517F41">
        <w:t xml:space="preserve"> aşağıdaki gibi özetleyebiliriz:</w:t>
      </w:r>
    </w:p>
    <w:p w14:paraId="5ED8D6F9" w14:textId="77777777" w:rsidR="004978EC" w:rsidRPr="00517F41" w:rsidRDefault="00D5041D" w:rsidP="00BA2F81">
      <w:pPr>
        <w:pStyle w:val="ListeParagraf"/>
        <w:numPr>
          <w:ilvl w:val="0"/>
          <w:numId w:val="2"/>
        </w:numPr>
        <w:jc w:val="both"/>
      </w:pPr>
      <w:r w:rsidRPr="00517F41">
        <w:rPr>
          <w:b/>
        </w:rPr>
        <w:t>AR-GE</w:t>
      </w:r>
      <w:r w:rsidR="004978EC" w:rsidRPr="00517F41">
        <w:t>:</w:t>
      </w:r>
      <w:r w:rsidR="00A37827" w:rsidRPr="00517F41">
        <w:t xml:space="preserve"> Şirketler mevcut AR-GE planları içerisine ivedi</w:t>
      </w:r>
      <w:r w:rsidR="003B4718" w:rsidRPr="00517F41">
        <w:t>li</w:t>
      </w:r>
      <w:r w:rsidR="00A37827" w:rsidRPr="00517F41">
        <w:t>kle</w:t>
      </w:r>
      <w:r w:rsidR="004978EC" w:rsidRPr="00517F41">
        <w:t xml:space="preserve"> </w:t>
      </w:r>
      <w:r w:rsidRPr="00517F41">
        <w:t xml:space="preserve">pazardaki talebi </w:t>
      </w:r>
      <w:r w:rsidR="00A37827" w:rsidRPr="00517F41">
        <w:t>karşılayacak</w:t>
      </w:r>
      <w:r w:rsidR="004978EC" w:rsidRPr="00517F41">
        <w:t xml:space="preserve"> sürd</w:t>
      </w:r>
      <w:r w:rsidR="003B4718" w:rsidRPr="00517F41">
        <w:t>ürüle</w:t>
      </w:r>
      <w:r w:rsidR="004978EC" w:rsidRPr="00517F41">
        <w:t xml:space="preserve">bilir ürünler </w:t>
      </w:r>
      <w:r w:rsidR="00A37827" w:rsidRPr="00517F41">
        <w:t>eklemeli</w:t>
      </w:r>
      <w:r w:rsidR="004978EC" w:rsidRPr="00517F41">
        <w:t xml:space="preserve">, </w:t>
      </w:r>
      <w:r w:rsidRPr="00517F41">
        <w:t>2025 ve 2030 gibi önemli dönüşüm tarihlerine kadar müşterilerin ih</w:t>
      </w:r>
      <w:r w:rsidR="00D5565E" w:rsidRPr="00517F41">
        <w:t>t</w:t>
      </w:r>
      <w:r w:rsidRPr="00517F41">
        <w:t>iyaçların</w:t>
      </w:r>
      <w:r w:rsidR="009F3334" w:rsidRPr="00517F41">
        <w:t xml:space="preserve">ı karşılayacak ürün opsiyonlarının hazır olduğundan emin </w:t>
      </w:r>
      <w:r w:rsidR="00A37827" w:rsidRPr="00517F41">
        <w:t xml:space="preserve">olmalı. Bu tarihlere kadar ürünlerini geliştirmemiş </w:t>
      </w:r>
      <w:r w:rsidR="004A1847" w:rsidRPr="00517F41">
        <w:t xml:space="preserve">firmalar </w:t>
      </w:r>
      <w:r w:rsidR="00A37827" w:rsidRPr="00517F41">
        <w:t xml:space="preserve">ciddi bir kayıp </w:t>
      </w:r>
      <w:r w:rsidR="004A1847" w:rsidRPr="00517F41">
        <w:t>yaşayabilir</w:t>
      </w:r>
      <w:r w:rsidR="00A37827" w:rsidRPr="00517F41">
        <w:t>.</w:t>
      </w:r>
    </w:p>
    <w:p w14:paraId="3FBBE73F" w14:textId="77777777" w:rsidR="004215BB" w:rsidRPr="00517F41" w:rsidRDefault="009F3334" w:rsidP="00BA2F81">
      <w:pPr>
        <w:pStyle w:val="ListeParagraf"/>
        <w:numPr>
          <w:ilvl w:val="0"/>
          <w:numId w:val="2"/>
        </w:numPr>
        <w:jc w:val="both"/>
      </w:pPr>
      <w:r w:rsidRPr="00517F41">
        <w:rPr>
          <w:b/>
        </w:rPr>
        <w:t>Ürün Stratejisi</w:t>
      </w:r>
      <w:r w:rsidR="004978EC" w:rsidRPr="00517F41">
        <w:rPr>
          <w:b/>
        </w:rPr>
        <w:t xml:space="preserve">: </w:t>
      </w:r>
      <w:r w:rsidR="003B4718" w:rsidRPr="00517F41">
        <w:t>Portfö</w:t>
      </w:r>
      <w:r w:rsidR="00A37827" w:rsidRPr="00517F41">
        <w:t>yün sürdürülebilirlik oranı</w:t>
      </w:r>
      <w:r w:rsidR="00270CEB" w:rsidRPr="00517F41">
        <w:t xml:space="preserve">nın yükseltilmesi hedeflenmeli. </w:t>
      </w:r>
      <w:r w:rsidR="004215BB" w:rsidRPr="00517F41">
        <w:t xml:space="preserve">Şirketler, portföylerinde </w:t>
      </w:r>
      <w:r w:rsidR="00D5565E" w:rsidRPr="00517F41">
        <w:t>sürdürü</w:t>
      </w:r>
      <w:r w:rsidR="003B4718" w:rsidRPr="00517F41">
        <w:t>lebilir özelliği olmayan</w:t>
      </w:r>
      <w:r w:rsidR="004215BB" w:rsidRPr="00517F41">
        <w:t xml:space="preserve"> ürünler için ürün</w:t>
      </w:r>
      <w:r w:rsidR="003B4718" w:rsidRPr="00517F41">
        <w:t xml:space="preserve"> yaşam döngüsü</w:t>
      </w:r>
      <w:r w:rsidR="004215BB" w:rsidRPr="00517F41">
        <w:t xml:space="preserve"> bakış açısı ile bu ürünlerin</w:t>
      </w:r>
      <w:r w:rsidR="003B4718" w:rsidRPr="00517F41">
        <w:t xml:space="preserve"> yerini alabilecek </w:t>
      </w:r>
      <w:r w:rsidR="00D5565E" w:rsidRPr="00517F41">
        <w:t>sürdürüle</w:t>
      </w:r>
      <w:r w:rsidR="003B4718" w:rsidRPr="00517F41">
        <w:t xml:space="preserve">bilir </w:t>
      </w:r>
      <w:r w:rsidR="004215BB" w:rsidRPr="00517F41">
        <w:t>opsiyonları belirlemeli</w:t>
      </w:r>
      <w:r w:rsidR="003B4718" w:rsidRPr="00517F41">
        <w:t xml:space="preserve"> ve </w:t>
      </w:r>
      <w:r w:rsidR="00270CEB" w:rsidRPr="00517F41">
        <w:t xml:space="preserve">sürdürülebilir opsiyonlara </w:t>
      </w:r>
      <w:r w:rsidR="003B4718" w:rsidRPr="00517F41">
        <w:t>geçiş</w:t>
      </w:r>
      <w:r w:rsidR="004215BB" w:rsidRPr="00517F41">
        <w:t xml:space="preserve"> sürecini planlamalı.</w:t>
      </w:r>
    </w:p>
    <w:p w14:paraId="26A33F18" w14:textId="77777777" w:rsidR="001D14E3" w:rsidRPr="00517F41" w:rsidRDefault="00D5041D" w:rsidP="00BA2F81">
      <w:pPr>
        <w:pStyle w:val="ListeParagraf"/>
        <w:numPr>
          <w:ilvl w:val="0"/>
          <w:numId w:val="2"/>
        </w:numPr>
        <w:jc w:val="both"/>
      </w:pPr>
      <w:r w:rsidRPr="00517F41">
        <w:rPr>
          <w:b/>
        </w:rPr>
        <w:t>Müşteri</w:t>
      </w:r>
      <w:r w:rsidR="009F3334" w:rsidRPr="00517F41">
        <w:rPr>
          <w:b/>
        </w:rPr>
        <w:t xml:space="preserve"> ve Kontrat Yönetimi</w:t>
      </w:r>
      <w:r w:rsidR="004978EC" w:rsidRPr="00517F41">
        <w:rPr>
          <w:b/>
        </w:rPr>
        <w:t>:</w:t>
      </w:r>
      <w:r w:rsidR="004978EC" w:rsidRPr="00517F41">
        <w:t xml:space="preserve"> </w:t>
      </w:r>
      <w:r w:rsidR="00270CEB" w:rsidRPr="00517F41">
        <w:t>Şirketler, m</w:t>
      </w:r>
      <w:r w:rsidR="00537EE7" w:rsidRPr="00517F41">
        <w:t xml:space="preserve">evcut kontratlı müşteriler için bir </w:t>
      </w:r>
      <w:r w:rsidRPr="00517F41">
        <w:t>sürdürülebilirlik değişim p</w:t>
      </w:r>
      <w:r w:rsidR="00495925" w:rsidRPr="00517F41">
        <w:t>lanı oluşturularak, mevcut port</w:t>
      </w:r>
      <w:r w:rsidRPr="00517F41">
        <w:t>f</w:t>
      </w:r>
      <w:r w:rsidR="00495925" w:rsidRPr="00517F41">
        <w:t>ö</w:t>
      </w:r>
      <w:r w:rsidRPr="00517F41">
        <w:t>yün sürdür</w:t>
      </w:r>
      <w:r w:rsidR="00D5565E" w:rsidRPr="00517F41">
        <w:t>üle</w:t>
      </w:r>
      <w:r w:rsidRPr="00517F41">
        <w:t>bilir ops</w:t>
      </w:r>
      <w:r w:rsidR="001D14E3" w:rsidRPr="00517F41">
        <w:t>i</w:t>
      </w:r>
      <w:r w:rsidRPr="00517F41">
        <w:t>yonlar ile değiştirilmesine olana</w:t>
      </w:r>
      <w:r w:rsidR="009F3334" w:rsidRPr="00517F41">
        <w:t xml:space="preserve">k sağlayacak aksiyonlar </w:t>
      </w:r>
      <w:r w:rsidR="00270CEB" w:rsidRPr="00517F41">
        <w:t>almalı</w:t>
      </w:r>
      <w:r w:rsidR="001D14E3" w:rsidRPr="00517F41">
        <w:t xml:space="preserve"> ve</w:t>
      </w:r>
      <w:r w:rsidR="00270CEB" w:rsidRPr="00517F41">
        <w:t xml:space="preserve"> ciro kaybının önüne geçmeli.</w:t>
      </w:r>
      <w:r w:rsidRPr="00517F41">
        <w:t xml:space="preserve"> </w:t>
      </w:r>
      <w:r w:rsidR="001D14E3" w:rsidRPr="00517F41">
        <w:t xml:space="preserve">Satış ekiplerinin </w:t>
      </w:r>
      <w:r w:rsidR="004215BB" w:rsidRPr="00517F41">
        <w:t xml:space="preserve">müşterileri ile iletişimlerinde, </w:t>
      </w:r>
      <w:r w:rsidR="00270CEB" w:rsidRPr="00517F41">
        <w:t xml:space="preserve">sürdürülebilir opsiyon önerilerini ve bunların </w:t>
      </w:r>
      <w:r w:rsidR="00D960DC" w:rsidRPr="00517F41">
        <w:t xml:space="preserve">müşteriler için </w:t>
      </w:r>
      <w:r w:rsidR="00270CEB" w:rsidRPr="00517F41">
        <w:t xml:space="preserve">değerini doğru bir biçimde aktarabilmesi adına </w:t>
      </w:r>
      <w:r w:rsidR="001D14E3" w:rsidRPr="00517F41">
        <w:t xml:space="preserve">detaylı bir </w:t>
      </w:r>
      <w:r w:rsidR="00270CEB" w:rsidRPr="00517F41">
        <w:t xml:space="preserve">satış </w:t>
      </w:r>
      <w:r w:rsidR="001D14E3" w:rsidRPr="00517F41">
        <w:t>destek kılavuzu oluşturulmalı.</w:t>
      </w:r>
    </w:p>
    <w:p w14:paraId="3ACBC23F" w14:textId="4D6637FD" w:rsidR="00495925" w:rsidRPr="00517F41" w:rsidRDefault="00537EE7" w:rsidP="00525CCD">
      <w:pPr>
        <w:pStyle w:val="ListeParagraf"/>
        <w:numPr>
          <w:ilvl w:val="0"/>
          <w:numId w:val="2"/>
        </w:numPr>
        <w:jc w:val="both"/>
        <w:rPr>
          <w:b/>
        </w:rPr>
      </w:pPr>
      <w:r w:rsidRPr="00517F41">
        <w:rPr>
          <w:b/>
        </w:rPr>
        <w:t>Değer bazlı fiyatlandırma:</w:t>
      </w:r>
      <w:r w:rsidR="009F3334" w:rsidRPr="00517F41">
        <w:t xml:space="preserve"> Ü</w:t>
      </w:r>
      <w:r w:rsidRPr="00517F41">
        <w:t>rünl</w:t>
      </w:r>
      <w:r w:rsidR="00D5041D" w:rsidRPr="00517F41">
        <w:t>erin</w:t>
      </w:r>
      <w:r w:rsidR="009F3334" w:rsidRPr="00517F41">
        <w:t xml:space="preserve"> değer yaratan</w:t>
      </w:r>
      <w:r w:rsidR="00D5041D" w:rsidRPr="00517F41">
        <w:t xml:space="preserve"> özelliklerini</w:t>
      </w:r>
      <w:r w:rsidR="00A37827" w:rsidRPr="00517F41">
        <w:t>n</w:t>
      </w:r>
      <w:r w:rsidR="00D5041D" w:rsidRPr="00517F41">
        <w:t xml:space="preserve"> ve müşteri bakış açısından </w:t>
      </w:r>
      <w:r w:rsidR="009F3334" w:rsidRPr="00517F41">
        <w:t>ödeme istekliliğini</w:t>
      </w:r>
      <w:r w:rsidR="00A37827" w:rsidRPr="00517F41">
        <w:t>n</w:t>
      </w:r>
      <w:r w:rsidR="009F3334" w:rsidRPr="00517F41">
        <w:t xml:space="preserve"> analiz edildiği </w:t>
      </w:r>
      <w:r w:rsidR="00495925" w:rsidRPr="00517F41">
        <w:t xml:space="preserve">değer </w:t>
      </w:r>
      <w:r w:rsidR="009F3334" w:rsidRPr="00517F41">
        <w:t>bazlı fiyatlandırma süreci kurgulamalı, bu kurgu içerisinde sürdür</w:t>
      </w:r>
      <w:r w:rsidR="008B7710" w:rsidRPr="00517F41">
        <w:t>ü</w:t>
      </w:r>
      <w:r w:rsidR="009F3334" w:rsidRPr="00517F41">
        <w:t>lebilir ürünlerin değerleri net bir şekilde belirlenmeli</w:t>
      </w:r>
      <w:r w:rsidR="00A37827" w:rsidRPr="00517F41">
        <w:t>.</w:t>
      </w:r>
    </w:p>
    <w:p w14:paraId="35E7C194" w14:textId="77777777" w:rsidR="00E243D4" w:rsidRPr="00517F41" w:rsidRDefault="004A1847" w:rsidP="00BA2F81">
      <w:pPr>
        <w:jc w:val="both"/>
        <w:rPr>
          <w:b/>
        </w:rPr>
      </w:pPr>
      <w:r w:rsidRPr="00517F41">
        <w:rPr>
          <w:b/>
        </w:rPr>
        <w:t xml:space="preserve">Dijitalleşme: </w:t>
      </w:r>
      <w:r w:rsidR="00E243D4" w:rsidRPr="00517F41">
        <w:rPr>
          <w:b/>
        </w:rPr>
        <w:t>Pandeminin hızlandırıcı etkisiyle dijitalleşme sürdürülebilirlik kadar önemli bir trend olarak ortaya çıktı.</w:t>
      </w:r>
    </w:p>
    <w:p w14:paraId="16FA2AAD" w14:textId="77777777" w:rsidR="00311270" w:rsidRPr="00517F41" w:rsidRDefault="00495925" w:rsidP="00BA2F81">
      <w:pPr>
        <w:jc w:val="both"/>
      </w:pPr>
      <w:r w:rsidRPr="00517F41">
        <w:t>D</w:t>
      </w:r>
      <w:r w:rsidR="00290AF8" w:rsidRPr="00517F41">
        <w:t>ijitalleşme 2000’li yıllar itibariyle</w:t>
      </w:r>
      <w:r w:rsidR="00D44AF4" w:rsidRPr="00517F41">
        <w:t xml:space="preserve"> neredeyse</w:t>
      </w:r>
      <w:r w:rsidR="00290AF8" w:rsidRPr="00517F41">
        <w:t xml:space="preserve"> her sektörde </w:t>
      </w:r>
      <w:r w:rsidR="00E243D4" w:rsidRPr="00517F41">
        <w:t>ezberleri yıkan</w:t>
      </w:r>
      <w:r w:rsidR="00290AF8" w:rsidRPr="00517F41">
        <w:t xml:space="preserve"> bir trend</w:t>
      </w:r>
      <w:r w:rsidR="000B22DB" w:rsidRPr="00517F41">
        <w:t xml:space="preserve"> oldu. Kağıt ve ambalaj</w:t>
      </w:r>
      <w:r w:rsidR="000074A3" w:rsidRPr="00517F41">
        <w:t>,</w:t>
      </w:r>
      <w:r w:rsidR="00D960DC" w:rsidRPr="00517F41">
        <w:t xml:space="preserve"> dijital satış kanallarına </w:t>
      </w:r>
      <w:r w:rsidR="000B22DB" w:rsidRPr="00517F41">
        <w:t xml:space="preserve">uygun sektörlere oranla daha </w:t>
      </w:r>
      <w:r w:rsidR="00D62674" w:rsidRPr="00517F41">
        <w:t xml:space="preserve">geç </w:t>
      </w:r>
      <w:r w:rsidR="000B22DB" w:rsidRPr="00517F41">
        <w:t>olsa da,</w:t>
      </w:r>
      <w:r w:rsidR="00D62674" w:rsidRPr="00517F41">
        <w:t xml:space="preserve"> son yıllarda </w:t>
      </w:r>
      <w:r w:rsidR="000B22DB" w:rsidRPr="00517F41">
        <w:t xml:space="preserve">dijitalleşmenin etkili olduğu </w:t>
      </w:r>
      <w:r w:rsidR="000B22DB" w:rsidRPr="00517F41">
        <w:lastRenderedPageBreak/>
        <w:t>bir sektör haline</w:t>
      </w:r>
      <w:r w:rsidR="00D62674" w:rsidRPr="00517F41">
        <w:t xml:space="preserve"> geldi. </w:t>
      </w:r>
      <w:r w:rsidR="000B22DB" w:rsidRPr="00517F41">
        <w:t>Bu etki</w:t>
      </w:r>
      <w:r w:rsidR="00FB0B0A" w:rsidRPr="00517F41">
        <w:t xml:space="preserve">, </w:t>
      </w:r>
      <w:r w:rsidR="000074A3" w:rsidRPr="00517F41">
        <w:t>bir</w:t>
      </w:r>
      <w:r w:rsidR="00064615" w:rsidRPr="00517F41">
        <w:t>çok sektörde olduğu gibi</w:t>
      </w:r>
      <w:r w:rsidR="000B22DB" w:rsidRPr="00517F41">
        <w:t xml:space="preserve"> pandemi ile hızla yükselişe geçti. </w:t>
      </w:r>
      <w:r w:rsidR="000074A3" w:rsidRPr="00517F41">
        <w:t>2020 T</w:t>
      </w:r>
      <w:r w:rsidR="00064615" w:rsidRPr="00517F41">
        <w:t xml:space="preserve">emmuz ayında </w:t>
      </w:r>
      <w:r w:rsidR="00311270" w:rsidRPr="00517F41">
        <w:t>o</w:t>
      </w:r>
      <w:r w:rsidR="00064615" w:rsidRPr="00517F41">
        <w:t xml:space="preserve">rganize </w:t>
      </w:r>
      <w:r w:rsidR="00311270" w:rsidRPr="00517F41">
        <w:t>ettiğimiz</w:t>
      </w:r>
      <w:r w:rsidR="00064615" w:rsidRPr="00517F41">
        <w:t xml:space="preserve"> Avrupa Kağıt ve Ambalaj sektörü seminerinde</w:t>
      </w:r>
      <w:r w:rsidR="000B22DB" w:rsidRPr="00517F41">
        <w:t>,</w:t>
      </w:r>
      <w:r w:rsidR="00064615" w:rsidRPr="00517F41">
        <w:t xml:space="preserve"> </w:t>
      </w:r>
      <w:r w:rsidR="000B22DB" w:rsidRPr="00517F41">
        <w:t>katılımcılar</w:t>
      </w:r>
      <w:r w:rsidR="00A37827" w:rsidRPr="00517F41">
        <w:t xml:space="preserve"> dijitalizasyonun </w:t>
      </w:r>
      <w:r w:rsidR="00064615" w:rsidRPr="00517F41">
        <w:t xml:space="preserve">neredeyse sürdürülebilirlik kadar </w:t>
      </w:r>
      <w:r w:rsidR="000B22DB" w:rsidRPr="00517F41">
        <w:t>etkili bir trend</w:t>
      </w:r>
      <w:r w:rsidR="00064615" w:rsidRPr="00517F41">
        <w:t xml:space="preserve"> olduğu</w:t>
      </w:r>
      <w:r w:rsidR="00A37827" w:rsidRPr="00517F41">
        <w:t>nu</w:t>
      </w:r>
      <w:r w:rsidR="000B22DB" w:rsidRPr="00517F41">
        <w:t xml:space="preserve"> </w:t>
      </w:r>
      <w:r w:rsidR="00064615" w:rsidRPr="00517F41">
        <w:t>ve dijitalleşme konusunda aksiyon alm</w:t>
      </w:r>
      <w:r w:rsidR="000B22DB" w:rsidRPr="00517F41">
        <w:t>anın kaçınılmazlığı</w:t>
      </w:r>
      <w:r w:rsidR="00A37827" w:rsidRPr="00517F41">
        <w:t>nı</w:t>
      </w:r>
      <w:r w:rsidR="000B22DB" w:rsidRPr="00517F41">
        <w:t xml:space="preserve"> </w:t>
      </w:r>
      <w:r w:rsidR="00FB0B0A" w:rsidRPr="00517F41">
        <w:t>konuştu</w:t>
      </w:r>
      <w:r w:rsidR="00311270" w:rsidRPr="00517F41">
        <w:t>. Ancak</w:t>
      </w:r>
      <w:r w:rsidR="000074A3" w:rsidRPr="00517F41">
        <w:t>, kağıt ve ambalaj sektörü</w:t>
      </w:r>
      <w:r w:rsidR="00311270" w:rsidRPr="00517F41">
        <w:t xml:space="preserve"> için dijitalleşme hangi süreçlerde öne çıkıyor ve şirketler hangi aksiyonları almalı?</w:t>
      </w:r>
    </w:p>
    <w:p w14:paraId="482E3AB7" w14:textId="5184306E" w:rsidR="00AC03F9" w:rsidRPr="00517F41" w:rsidRDefault="00D869CB" w:rsidP="00BA2F81">
      <w:pPr>
        <w:jc w:val="both"/>
      </w:pPr>
      <w:r w:rsidRPr="00517F41">
        <w:rPr>
          <w:noProof/>
          <w:lang w:eastAsia="tr-TR"/>
        </w:rPr>
        <w:drawing>
          <wp:inline distT="0" distB="0" distL="0" distR="0" wp14:anchorId="6C4C6FCD" wp14:editId="4B69FA84">
            <wp:extent cx="5943600" cy="29978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2C3ED" w14:textId="755CDC90" w:rsidR="004820E8" w:rsidRPr="00517F41" w:rsidRDefault="004820E8" w:rsidP="00525CCD">
      <w:pPr>
        <w:jc w:val="center"/>
        <w:rPr>
          <w:i/>
          <w:iCs/>
          <w:noProof/>
          <w:sz w:val="20"/>
          <w:szCs w:val="20"/>
        </w:rPr>
      </w:pPr>
      <w:r w:rsidRPr="00517F41">
        <w:rPr>
          <w:i/>
          <w:iCs/>
          <w:sz w:val="20"/>
          <w:szCs w:val="20"/>
        </w:rPr>
        <w:t>Görsel 3: Dijitalizasyonun Etkileyeceği Süreçler</w:t>
      </w:r>
    </w:p>
    <w:p w14:paraId="308F6B0E" w14:textId="588E2695" w:rsidR="003D073F" w:rsidRPr="00517F41" w:rsidRDefault="00285643" w:rsidP="00BA2F81">
      <w:pPr>
        <w:jc w:val="both"/>
      </w:pPr>
      <w:r w:rsidRPr="00517F41">
        <w:t xml:space="preserve">Gerçekleştirdiğimiz sektör </w:t>
      </w:r>
      <w:r w:rsidR="004A1847" w:rsidRPr="00517F41">
        <w:t xml:space="preserve">araştırmaları </w:t>
      </w:r>
      <w:r w:rsidRPr="00517F41">
        <w:t>d</w:t>
      </w:r>
      <w:r w:rsidR="00AC03F9" w:rsidRPr="00517F41">
        <w:t xml:space="preserve">ijitalleşmenin en çok etkileyeceği </w:t>
      </w:r>
      <w:r w:rsidR="00D5565E" w:rsidRPr="00517F41">
        <w:t>ön</w:t>
      </w:r>
      <w:r w:rsidR="008B4549" w:rsidRPr="00517F41">
        <w:t xml:space="preserve">görülen </w:t>
      </w:r>
      <w:r w:rsidR="00A37827" w:rsidRPr="00517F41">
        <w:t xml:space="preserve">ana </w:t>
      </w:r>
      <w:r w:rsidRPr="00517F41">
        <w:t>süreç,</w:t>
      </w:r>
      <w:r w:rsidR="003D073F" w:rsidRPr="00517F41">
        <w:t xml:space="preserve"> </w:t>
      </w:r>
      <w:r w:rsidR="00A37827" w:rsidRPr="00517F41">
        <w:t xml:space="preserve">beklenenin aksine akıllı paketleme gibi inovatif çözümler yerine </w:t>
      </w:r>
      <w:r w:rsidR="00AC03F9" w:rsidRPr="00517F41">
        <w:t>satış süreçleri</w:t>
      </w:r>
      <w:r w:rsidRPr="00517F41">
        <w:t xml:space="preserve"> olarak </w:t>
      </w:r>
      <w:r w:rsidR="008B4549" w:rsidRPr="00517F41">
        <w:t>değerlendiriliyor.</w:t>
      </w:r>
      <w:r w:rsidRPr="00517F41">
        <w:t xml:space="preserve"> </w:t>
      </w:r>
      <w:r w:rsidR="00AA743D" w:rsidRPr="00517F41">
        <w:t>Bunu ek olarak</w:t>
      </w:r>
      <w:r w:rsidR="00B46A78" w:rsidRPr="00517F41">
        <w:t xml:space="preserve"> dijital dönüşüm yatırımı yapan şirketlerin sadece çeyreği bu yatırımlarından dönüş alabildiğini belirtiyor </w:t>
      </w:r>
      <w:r w:rsidRPr="00517F41">
        <w:t xml:space="preserve">Dijitalleşme sürecini hem iç satış </w:t>
      </w:r>
      <w:r w:rsidR="004820E8" w:rsidRPr="00517F41">
        <w:t>aktiviteleri</w:t>
      </w:r>
      <w:r w:rsidRPr="00517F41">
        <w:t xml:space="preserve"> hem de müşteri tarafında değerlendirmesi gereken şirketlerin</w:t>
      </w:r>
      <w:r w:rsidR="002E670B" w:rsidRPr="00517F41">
        <w:t xml:space="preserve"> alması gereken 3</w:t>
      </w:r>
      <w:r w:rsidR="003D073F" w:rsidRPr="00517F41">
        <w:t xml:space="preserve"> temel adım</w:t>
      </w:r>
      <w:r w:rsidR="00A37827" w:rsidRPr="00517F41">
        <w:t>ı özetlemek gerekirse:</w:t>
      </w:r>
    </w:p>
    <w:p w14:paraId="090AB322" w14:textId="77777777" w:rsidR="00285643" w:rsidRPr="00517F41" w:rsidRDefault="00FF3F56" w:rsidP="00BA2F81">
      <w:pPr>
        <w:pStyle w:val="ListeParagraf"/>
        <w:numPr>
          <w:ilvl w:val="0"/>
          <w:numId w:val="3"/>
        </w:numPr>
        <w:jc w:val="both"/>
      </w:pPr>
      <w:r w:rsidRPr="00517F41">
        <w:rPr>
          <w:b/>
        </w:rPr>
        <w:t>Değer Odaklı</w:t>
      </w:r>
      <w:r w:rsidR="003D073F" w:rsidRPr="00517F41">
        <w:rPr>
          <w:b/>
        </w:rPr>
        <w:t xml:space="preserve"> Satış Platformları</w:t>
      </w:r>
      <w:r w:rsidR="003D073F" w:rsidRPr="00517F41">
        <w:t>: S</w:t>
      </w:r>
      <w:r w:rsidR="00AC03F9" w:rsidRPr="00517F41">
        <w:t>atış ekibinin veri bazlı karar verebilmesi için yeterli raporlama ve analiz altyapısının kurulması</w:t>
      </w:r>
      <w:r w:rsidR="00EB14DB" w:rsidRPr="00517F41">
        <w:t>,</w:t>
      </w:r>
      <w:r w:rsidR="00AC03F9" w:rsidRPr="00517F41">
        <w:t xml:space="preserve"> </w:t>
      </w:r>
      <w:r w:rsidR="003D073F" w:rsidRPr="00517F41">
        <w:t>şirketlerin uygulamaya alması gereken ilk adım</w:t>
      </w:r>
      <w:r w:rsidR="00AC03F9" w:rsidRPr="00517F41">
        <w:t>.</w:t>
      </w:r>
      <w:r w:rsidR="003D073F" w:rsidRPr="00517F41">
        <w:t xml:space="preserve"> Sektörde en sık</w:t>
      </w:r>
      <w:r w:rsidR="00290AF8" w:rsidRPr="00517F41">
        <w:t xml:space="preserve"> </w:t>
      </w:r>
      <w:r w:rsidR="00A37827" w:rsidRPr="00517F41">
        <w:t>gördüğümüz</w:t>
      </w:r>
      <w:r w:rsidR="00290AF8" w:rsidRPr="00517F41">
        <w:t xml:space="preserve"> hata</w:t>
      </w:r>
      <w:r w:rsidR="000C08FA" w:rsidRPr="00517F41">
        <w:t>,</w:t>
      </w:r>
      <w:r w:rsidR="00290AF8" w:rsidRPr="00517F41">
        <w:t xml:space="preserve"> ihalelere yapılan hazırlıkların yetersiz olması v</w:t>
      </w:r>
      <w:r w:rsidR="00285643" w:rsidRPr="00517F41">
        <w:t xml:space="preserve">e müşterinin bu hazırlıksızlıktan faydalanarak özellikle </w:t>
      </w:r>
      <w:r w:rsidR="00290AF8" w:rsidRPr="00517F41">
        <w:t xml:space="preserve">büyük ciro potansiyeli olan tekliflerde fiyatı rahatlıkla dikte edebilmesi. </w:t>
      </w:r>
      <w:r w:rsidR="003D073F" w:rsidRPr="00517F41">
        <w:t>Şirketler</w:t>
      </w:r>
      <w:r w:rsidR="00EB14DB" w:rsidRPr="00517F41">
        <w:t>,</w:t>
      </w:r>
      <w:r w:rsidR="003D073F" w:rsidRPr="00517F41">
        <w:t xml:space="preserve"> s</w:t>
      </w:r>
      <w:r w:rsidR="00290AF8" w:rsidRPr="00517F41">
        <w:t xml:space="preserve">atış ekiplerine </w:t>
      </w:r>
      <w:r w:rsidR="003D073F" w:rsidRPr="00517F41">
        <w:t>değer bazlı satış</w:t>
      </w:r>
      <w:r w:rsidR="00290AF8" w:rsidRPr="00517F41">
        <w:t xml:space="preserve"> </w:t>
      </w:r>
      <w:r w:rsidR="00B57505" w:rsidRPr="00517F41">
        <w:t xml:space="preserve">platformları kurgulayarak, </w:t>
      </w:r>
      <w:r w:rsidR="003D073F" w:rsidRPr="00517F41">
        <w:t xml:space="preserve">ihaleye </w:t>
      </w:r>
      <w:r w:rsidR="00285643" w:rsidRPr="00517F41">
        <w:t>hazırlıkları</w:t>
      </w:r>
      <w:r w:rsidR="00E50BED" w:rsidRPr="00517F41">
        <w:t xml:space="preserve"> güçlendirmeli</w:t>
      </w:r>
      <w:r w:rsidR="003D073F" w:rsidRPr="00517F41">
        <w:t xml:space="preserve"> ve veri b</w:t>
      </w:r>
      <w:r w:rsidR="00285643" w:rsidRPr="00517F41">
        <w:t>azlı kararları</w:t>
      </w:r>
      <w:r w:rsidR="00A37827" w:rsidRPr="00517F41">
        <w:t xml:space="preserve"> </w:t>
      </w:r>
      <w:r w:rsidR="00B57505" w:rsidRPr="00517F41">
        <w:t xml:space="preserve">desteklemeli. </w:t>
      </w:r>
      <w:r w:rsidR="00E50BED" w:rsidRPr="00517F41">
        <w:t xml:space="preserve">Bu konuda platformların </w:t>
      </w:r>
      <w:r w:rsidR="00285643" w:rsidRPr="00517F41">
        <w:t>kurulması</w:t>
      </w:r>
      <w:r w:rsidR="00E50BED" w:rsidRPr="00517F41">
        <w:t xml:space="preserve"> kadar</w:t>
      </w:r>
      <w:r w:rsidR="00285643" w:rsidRPr="00517F41">
        <w:t xml:space="preserve"> önemli</w:t>
      </w:r>
      <w:r w:rsidR="00E50BED" w:rsidRPr="00517F41">
        <w:t xml:space="preserve"> bir diğer</w:t>
      </w:r>
      <w:r w:rsidR="00285643" w:rsidRPr="00517F41">
        <w:t xml:space="preserve"> faktör de değişim </w:t>
      </w:r>
      <w:r w:rsidR="00E50BED" w:rsidRPr="00517F41">
        <w:t>yönetimi. S</w:t>
      </w:r>
      <w:r w:rsidR="00285643" w:rsidRPr="00517F41">
        <w:t>atış ekiplerinin araçların kullanımı konusunda düzenli eğitim programlarıyla desteklenmesi</w:t>
      </w:r>
      <w:r w:rsidR="00E50BED" w:rsidRPr="00517F41">
        <w:t>, aracın kullanımının yaygınlaştırılması</w:t>
      </w:r>
      <w:r w:rsidR="00285643" w:rsidRPr="00517F41">
        <w:t xml:space="preserve"> gerekiyor. </w:t>
      </w:r>
      <w:r w:rsidR="00B57505" w:rsidRPr="00517F41">
        <w:t>Projelerimizde değer bazlı satış platformlarının</w:t>
      </w:r>
      <w:r w:rsidR="00A37827" w:rsidRPr="00517F41">
        <w:t xml:space="preserve"> optimum fiyat ve servis önerilerinin sağlanması </w:t>
      </w:r>
      <w:r w:rsidR="00AA743D" w:rsidRPr="00517F41">
        <w:t>ile %1-3</w:t>
      </w:r>
      <w:r w:rsidR="00B57505" w:rsidRPr="00517F41">
        <w:t xml:space="preserve"> ROS (getiri) sağladığını </w:t>
      </w:r>
      <w:r w:rsidR="00E50BED" w:rsidRPr="00517F41">
        <w:t>sıklıkla görüyoruz</w:t>
      </w:r>
      <w:r w:rsidR="00290AF8" w:rsidRPr="00517F41">
        <w:t xml:space="preserve">. </w:t>
      </w:r>
    </w:p>
    <w:p w14:paraId="7A86D7EB" w14:textId="77777777" w:rsidR="00285643" w:rsidRPr="00517F41" w:rsidRDefault="00285643" w:rsidP="00BA2F81">
      <w:pPr>
        <w:pStyle w:val="ListeParagraf"/>
        <w:jc w:val="both"/>
      </w:pPr>
    </w:p>
    <w:p w14:paraId="221657E5" w14:textId="77777777" w:rsidR="00290AF8" w:rsidRPr="00517F41" w:rsidRDefault="00E50D03" w:rsidP="00BA2F81">
      <w:pPr>
        <w:pStyle w:val="ListeParagraf"/>
        <w:numPr>
          <w:ilvl w:val="0"/>
          <w:numId w:val="3"/>
        </w:numPr>
        <w:jc w:val="both"/>
      </w:pPr>
      <w:r w:rsidRPr="00517F41">
        <w:rPr>
          <w:b/>
        </w:rPr>
        <w:t xml:space="preserve">Dijital Temas </w:t>
      </w:r>
      <w:r w:rsidR="00705283" w:rsidRPr="00517F41">
        <w:rPr>
          <w:b/>
        </w:rPr>
        <w:t>Noktalarının</w:t>
      </w:r>
      <w:r w:rsidRPr="00517F41">
        <w:rPr>
          <w:b/>
        </w:rPr>
        <w:t xml:space="preserve"> Planlanmas</w:t>
      </w:r>
      <w:r w:rsidR="00705283" w:rsidRPr="00517F41">
        <w:rPr>
          <w:b/>
        </w:rPr>
        <w:t>ı</w:t>
      </w:r>
      <w:r w:rsidR="00285643" w:rsidRPr="00517F41">
        <w:rPr>
          <w:b/>
        </w:rPr>
        <w:t xml:space="preserve">: </w:t>
      </w:r>
      <w:r w:rsidR="00FE3732" w:rsidRPr="00517F41">
        <w:t>Dijitalleşme ile birlikte m</w:t>
      </w:r>
      <w:r w:rsidR="00290AF8" w:rsidRPr="00517F41">
        <w:t>üşteriler</w:t>
      </w:r>
      <w:r w:rsidR="00EB14DB" w:rsidRPr="00517F41">
        <w:t>l</w:t>
      </w:r>
      <w:r w:rsidR="00290AF8" w:rsidRPr="00517F41">
        <w:t xml:space="preserve">e olan </w:t>
      </w:r>
      <w:r w:rsidR="00FE3732" w:rsidRPr="00517F41">
        <w:t xml:space="preserve">temas noktaları artış gösteriyor. Online satın alma opsiyonları, sipariş arayüzleri, sosyal medya gibi birçok yeni </w:t>
      </w:r>
      <w:r w:rsidR="00666C09" w:rsidRPr="00517F41">
        <w:t>kanal</w:t>
      </w:r>
      <w:r w:rsidR="00EB14DB" w:rsidRPr="00517F41">
        <w:t>,</w:t>
      </w:r>
      <w:r w:rsidR="00FE3732" w:rsidRPr="00517F41">
        <w:t xml:space="preserve"> </w:t>
      </w:r>
      <w:r w:rsidR="00C96DB9" w:rsidRPr="00517F41">
        <w:t>k</w:t>
      </w:r>
      <w:r w:rsidR="003D073F" w:rsidRPr="00517F41">
        <w:t>ağıt ve ambalaj üreticileri</w:t>
      </w:r>
      <w:r w:rsidR="00290AF8" w:rsidRPr="00517F41">
        <w:t xml:space="preserve"> </w:t>
      </w:r>
      <w:r w:rsidR="00FE3732" w:rsidRPr="00517F41">
        <w:t xml:space="preserve">için de önemli </w:t>
      </w:r>
      <w:r w:rsidR="00C96DB9" w:rsidRPr="00517F41">
        <w:t>temas noktaları</w:t>
      </w:r>
      <w:r w:rsidR="00FE3732" w:rsidRPr="00517F41">
        <w:t xml:space="preserve"> olarak öne çıkmaya başladı. </w:t>
      </w:r>
      <w:r w:rsidR="00666C09" w:rsidRPr="00517F41">
        <w:t>Sektörde gerçekleştirdiğimiz anketlerde üreticilerin</w:t>
      </w:r>
      <w:r w:rsidR="00FE3732" w:rsidRPr="00517F41">
        <w:t xml:space="preserve"> satış ekiplerini</w:t>
      </w:r>
      <w:r w:rsidR="00666C09" w:rsidRPr="00517F41">
        <w:t xml:space="preserve">, müşteriyle iletişim ve </w:t>
      </w:r>
      <w:r w:rsidR="00666C09" w:rsidRPr="00517F41">
        <w:lastRenderedPageBreak/>
        <w:t>etkileşim detaylarını</w:t>
      </w:r>
      <w:r w:rsidR="00EB14DB" w:rsidRPr="00517F41">
        <w:t>,</w:t>
      </w:r>
      <w:r w:rsidR="00FE3732" w:rsidRPr="00517F41">
        <w:t xml:space="preserve"> yeni temas noktalarına göre </w:t>
      </w:r>
      <w:r w:rsidR="00666C09" w:rsidRPr="00517F41">
        <w:t>tasarlamadıklarını görüyoruz.</w:t>
      </w:r>
      <w:r w:rsidR="00FE3732" w:rsidRPr="00517F41">
        <w:t xml:space="preserve"> </w:t>
      </w:r>
      <w:r w:rsidR="00666C09" w:rsidRPr="00517F41">
        <w:t>Şirketler</w:t>
      </w:r>
      <w:r w:rsidR="00A5448F" w:rsidRPr="00517F41">
        <w:t>,</w:t>
      </w:r>
      <w:r w:rsidR="00666C09" w:rsidRPr="00517F41">
        <w:t xml:space="preserve"> pazarda bir adım öne geçmek için</w:t>
      </w:r>
      <w:r w:rsidR="00C96DB9" w:rsidRPr="00517F41">
        <w:t xml:space="preserve"> müşteri yolcu</w:t>
      </w:r>
      <w:r w:rsidR="00EB14DB" w:rsidRPr="00517F41">
        <w:t>lu</w:t>
      </w:r>
      <w:r w:rsidR="00C96DB9" w:rsidRPr="00517F41">
        <w:t>ğunda t</w:t>
      </w:r>
      <w:r w:rsidR="00666C09" w:rsidRPr="00517F41">
        <w:t>emas noktalarına</w:t>
      </w:r>
      <w:r w:rsidR="00C96DB9" w:rsidRPr="00517F41">
        <w:t xml:space="preserve"> çoklu kanal perspektifi ile </w:t>
      </w:r>
      <w:r w:rsidR="00666C09" w:rsidRPr="00517F41">
        <w:t>yaklaşmalı</w:t>
      </w:r>
      <w:r w:rsidR="00C96DB9" w:rsidRPr="00517F41">
        <w:t>. Müşterinin yolcu</w:t>
      </w:r>
      <w:r w:rsidR="0066701D" w:rsidRPr="00517F41">
        <w:t>lu</w:t>
      </w:r>
      <w:r w:rsidR="00C96DB9" w:rsidRPr="00517F41">
        <w:t xml:space="preserve">ğunda her bir adım için temas noktalarına uygun bir tecrübe </w:t>
      </w:r>
      <w:r w:rsidR="00666C09" w:rsidRPr="00517F41">
        <w:t>sunarak teklifleri satın alma kararının öncesinde kazanmayı hedeflemeli</w:t>
      </w:r>
      <w:r w:rsidR="00EB14DB" w:rsidRPr="00517F41">
        <w:t>ler</w:t>
      </w:r>
      <w:r w:rsidR="00C96DB9" w:rsidRPr="00517F41">
        <w:t>. Buna ek olarak, a</w:t>
      </w:r>
      <w:r w:rsidR="00FE3732" w:rsidRPr="00517F41">
        <w:t>rtan temas noktaları ile birlikte s</w:t>
      </w:r>
      <w:r w:rsidR="00290AF8" w:rsidRPr="00517F41">
        <w:t xml:space="preserve">atış ekibi içerisinde farklı </w:t>
      </w:r>
      <w:r w:rsidR="0071647E" w:rsidRPr="00517F41">
        <w:t xml:space="preserve">yetkinliklere </w:t>
      </w:r>
      <w:r w:rsidR="00BD09B8" w:rsidRPr="00517F41">
        <w:t xml:space="preserve">sahip </w:t>
      </w:r>
      <w:r w:rsidR="00FE3732" w:rsidRPr="00517F41">
        <w:t>ekiplere ve kişilere i</w:t>
      </w:r>
      <w:r w:rsidR="00BD09B8" w:rsidRPr="00517F41">
        <w:t xml:space="preserve">htiyaç </w:t>
      </w:r>
      <w:r w:rsidR="00FE3732" w:rsidRPr="00517F41">
        <w:t>artıyor</w:t>
      </w:r>
      <w:r w:rsidR="00BD09B8" w:rsidRPr="00517F41">
        <w:t xml:space="preserve">. </w:t>
      </w:r>
      <w:r w:rsidR="00666C09" w:rsidRPr="00517F41">
        <w:t>Satış ekibi içerisinde tele</w:t>
      </w:r>
      <w:r w:rsidR="00FE3732" w:rsidRPr="00517F41">
        <w:t>satış</w:t>
      </w:r>
      <w:r w:rsidR="00BD09B8" w:rsidRPr="00517F41">
        <w:t>,</w:t>
      </w:r>
      <w:r w:rsidR="00FE3732" w:rsidRPr="00517F41">
        <w:t xml:space="preserve"> </w:t>
      </w:r>
      <w:r w:rsidR="00666C09" w:rsidRPr="00517F41">
        <w:t xml:space="preserve">çoklu kanallı </w:t>
      </w:r>
      <w:r w:rsidR="00FE3732" w:rsidRPr="00517F41">
        <w:t>müşteri hi</w:t>
      </w:r>
      <w:r w:rsidR="00C96DB9" w:rsidRPr="00517F41">
        <w:t xml:space="preserve">zmetleri, online teknik destek </w:t>
      </w:r>
      <w:r w:rsidR="00BD09B8" w:rsidRPr="00517F41">
        <w:t xml:space="preserve">gibi </w:t>
      </w:r>
      <w:r w:rsidR="00FE3732" w:rsidRPr="00517F41">
        <w:t xml:space="preserve">silolar kurmak artık </w:t>
      </w:r>
      <w:r w:rsidR="00666C09" w:rsidRPr="00517F41">
        <w:t>üreticiler</w:t>
      </w:r>
      <w:r w:rsidR="00FE3732" w:rsidRPr="00517F41">
        <w:t xml:space="preserve"> için birinci planda olmalı. </w:t>
      </w:r>
    </w:p>
    <w:p w14:paraId="248C0746" w14:textId="3F4E5CB4" w:rsidR="00BD09B8" w:rsidRPr="00517F41" w:rsidRDefault="000E4B5B" w:rsidP="00BA2F81">
      <w:pPr>
        <w:jc w:val="both"/>
      </w:pPr>
      <w:r w:rsidRPr="00517F41">
        <w:rPr>
          <w:noProof/>
          <w:lang w:eastAsia="tr-TR"/>
        </w:rPr>
        <w:drawing>
          <wp:inline distT="0" distB="0" distL="0" distR="0" wp14:anchorId="3BBC7B49" wp14:editId="48D2777C">
            <wp:extent cx="6350000" cy="2286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74CF1" w14:textId="6BCE7330" w:rsidR="004820E8" w:rsidRPr="00517F41" w:rsidRDefault="004820E8" w:rsidP="00525CCD">
      <w:pPr>
        <w:jc w:val="center"/>
        <w:rPr>
          <w:i/>
          <w:iCs/>
          <w:sz w:val="20"/>
          <w:szCs w:val="20"/>
        </w:rPr>
      </w:pPr>
      <w:r w:rsidRPr="00517F41">
        <w:rPr>
          <w:i/>
          <w:iCs/>
          <w:sz w:val="20"/>
          <w:szCs w:val="20"/>
        </w:rPr>
        <w:t>Görsel 4: Dijital ve Fiziksel Temas Noktaları</w:t>
      </w:r>
    </w:p>
    <w:p w14:paraId="2AFFC2A7" w14:textId="78EA8D82" w:rsidR="00285643" w:rsidRPr="00517F41" w:rsidRDefault="00C96DB9" w:rsidP="00BA2F81">
      <w:pPr>
        <w:pStyle w:val="ListeParagraf"/>
        <w:numPr>
          <w:ilvl w:val="0"/>
          <w:numId w:val="3"/>
        </w:numPr>
        <w:jc w:val="both"/>
      </w:pPr>
      <w:r w:rsidRPr="00517F41">
        <w:rPr>
          <w:b/>
        </w:rPr>
        <w:t>Satış Süreçlerinin Standardizasyonu</w:t>
      </w:r>
      <w:r w:rsidR="00285643" w:rsidRPr="00517F41">
        <w:rPr>
          <w:b/>
        </w:rPr>
        <w:t>:</w:t>
      </w:r>
      <w:r w:rsidR="004820E8" w:rsidRPr="00517F41">
        <w:rPr>
          <w:b/>
        </w:rPr>
        <w:t xml:space="preserve"> </w:t>
      </w:r>
      <w:r w:rsidR="00C90DDC" w:rsidRPr="00517F41">
        <w:t xml:space="preserve">Şirketler satış süreçlerini dijitalleşme bakış açısıyla uçtan uca (satış öncesi, satış, teslimat ve satış sonrasını) </w:t>
      </w:r>
      <w:r w:rsidR="004820E8" w:rsidRPr="00517F41">
        <w:t>tasarlayarak</w:t>
      </w:r>
      <w:r w:rsidR="00C90DDC" w:rsidRPr="00517F41">
        <w:t xml:space="preserve"> hem </w:t>
      </w:r>
      <w:r w:rsidR="00605A92" w:rsidRPr="00517F41">
        <w:t>şirket içi</w:t>
      </w:r>
      <w:r w:rsidR="00C90DDC" w:rsidRPr="00517F41">
        <w:t xml:space="preserve"> hem de müşteri </w:t>
      </w:r>
      <w:r w:rsidR="00A5448F" w:rsidRPr="00517F41">
        <w:t>ayağında</w:t>
      </w:r>
      <w:r w:rsidR="00C90DDC" w:rsidRPr="00517F41">
        <w:t xml:space="preserve"> </w:t>
      </w:r>
      <w:r w:rsidR="00605A92" w:rsidRPr="00517F41">
        <w:t>standardize etmesi gerekiyor</w:t>
      </w:r>
      <w:r w:rsidR="00C90DDC" w:rsidRPr="00517F41">
        <w:t xml:space="preserve">. </w:t>
      </w:r>
      <w:r w:rsidR="00E8453D" w:rsidRPr="00517F41">
        <w:t>Süreçlerde dijitalleşme</w:t>
      </w:r>
      <w:r w:rsidR="00C90DDC" w:rsidRPr="00517F41">
        <w:t xml:space="preserve"> ile aktivitelere harcanan </w:t>
      </w:r>
      <w:r w:rsidR="004215BB" w:rsidRPr="00517F41">
        <w:t>vaktin</w:t>
      </w:r>
      <w:r w:rsidR="00C90DDC" w:rsidRPr="00517F41">
        <w:t xml:space="preserve"> de </w:t>
      </w:r>
      <w:r w:rsidR="00DA3D1C" w:rsidRPr="00517F41">
        <w:t xml:space="preserve">azalmasıyla birlikte artan sürenin tekrardan </w:t>
      </w:r>
      <w:r w:rsidR="009362CF" w:rsidRPr="00517F41">
        <w:t xml:space="preserve">planlanması </w:t>
      </w:r>
      <w:r w:rsidR="00DA3D1C" w:rsidRPr="00517F41">
        <w:t>ve satış siloları için gerekli insan kaynağının gözden geçirilmesi gerekiyor.</w:t>
      </w:r>
      <w:r w:rsidR="002E670B" w:rsidRPr="00517F41">
        <w:t xml:space="preserve"> </w:t>
      </w:r>
    </w:p>
    <w:p w14:paraId="33F78660" w14:textId="77777777" w:rsidR="004820E8" w:rsidRPr="00517F41" w:rsidRDefault="004820E8" w:rsidP="00525CCD">
      <w:pPr>
        <w:pStyle w:val="ListeParagraf"/>
        <w:jc w:val="both"/>
      </w:pPr>
    </w:p>
    <w:p w14:paraId="30DB3951" w14:textId="6ECA2199" w:rsidR="000C08FA" w:rsidRDefault="00285643" w:rsidP="00BA2F81">
      <w:pPr>
        <w:jc w:val="both"/>
      </w:pPr>
      <w:r w:rsidRPr="00517F41">
        <w:t>Özetlemek</w:t>
      </w:r>
      <w:r w:rsidR="003D073F" w:rsidRPr="00517F41">
        <w:t xml:space="preserve"> gerekirse, kağıt ve ambalaj sektörü firmaları pro-aktif stratejiler geliştirerek sürdür</w:t>
      </w:r>
      <w:r w:rsidR="00D5565E" w:rsidRPr="00517F41">
        <w:t>üle</w:t>
      </w:r>
      <w:r w:rsidR="003D073F" w:rsidRPr="00517F41">
        <w:t xml:space="preserve">bilirlik trendini ürün yönetimi, satış ve fiyatlandırma süreçlerine dahil etmeli, satış süreçlerini hem ekipler hem de müşteri </w:t>
      </w:r>
      <w:r w:rsidR="00BC502C" w:rsidRPr="00517F41">
        <w:t>ayağında</w:t>
      </w:r>
      <w:r w:rsidR="003D073F" w:rsidRPr="00517F41">
        <w:t xml:space="preserve"> dijitalleştirmeye yönelik aksiyonlar alarak </w:t>
      </w:r>
      <w:r w:rsidRPr="00517F41">
        <w:t xml:space="preserve">fırsata dönüştürebilecekleri bu </w:t>
      </w:r>
      <w:r w:rsidR="003D073F" w:rsidRPr="00517F41">
        <w:t xml:space="preserve">treni kaçırmamalılar. </w:t>
      </w:r>
    </w:p>
    <w:p w14:paraId="60977A3A" w14:textId="77777777" w:rsidR="002B7205" w:rsidRDefault="002B7205" w:rsidP="005B654A">
      <w:pPr>
        <w:pStyle w:val="AralkYok"/>
      </w:pPr>
      <w:r>
        <w:t xml:space="preserve">Yazarlar: </w:t>
      </w:r>
    </w:p>
    <w:p w14:paraId="2E38F15E" w14:textId="77777777" w:rsidR="002B7205" w:rsidRDefault="002B7205" w:rsidP="005B654A">
      <w:pPr>
        <w:pStyle w:val="AralkYok"/>
      </w:pPr>
      <w:r>
        <w:t xml:space="preserve">Cem Balıkçıoğlu – </w:t>
      </w:r>
      <w:bookmarkStart w:id="0" w:name="_GoBack"/>
      <w:r>
        <w:t xml:space="preserve">Simon-Kucher &amp; Partners İstanbul </w:t>
      </w:r>
      <w:bookmarkEnd w:id="0"/>
      <w:r>
        <w:t xml:space="preserve">Ofisi Ortağı </w:t>
      </w:r>
    </w:p>
    <w:p w14:paraId="59906502" w14:textId="77777777" w:rsidR="002B7205" w:rsidRPr="002B7205" w:rsidRDefault="002B7205" w:rsidP="005B654A">
      <w:pPr>
        <w:pStyle w:val="AralkYok"/>
      </w:pPr>
      <w:r>
        <w:t>Ozan Aydın – Simon-Kucher &amp; Partners İstanbul Ofisi Kıdemli Danışman</w:t>
      </w:r>
    </w:p>
    <w:p w14:paraId="42B97A59" w14:textId="77777777" w:rsidR="002B7205" w:rsidRPr="00517F41" w:rsidRDefault="002B7205" w:rsidP="00BA2F81">
      <w:pPr>
        <w:jc w:val="both"/>
      </w:pPr>
    </w:p>
    <w:sectPr w:rsidR="002B7205" w:rsidRPr="00517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F99F7" w14:textId="77777777" w:rsidR="00875E6D" w:rsidRDefault="00875E6D" w:rsidP="00E243D4">
      <w:pPr>
        <w:spacing w:after="0" w:line="240" w:lineRule="auto"/>
      </w:pPr>
      <w:r>
        <w:separator/>
      </w:r>
    </w:p>
  </w:endnote>
  <w:endnote w:type="continuationSeparator" w:id="0">
    <w:p w14:paraId="36F222DD" w14:textId="77777777" w:rsidR="00875E6D" w:rsidRDefault="00875E6D" w:rsidP="00E2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onKucher">
    <w:altName w:val="Calibri"/>
    <w:charset w:val="00"/>
    <w:family w:val="auto"/>
    <w:pitch w:val="variable"/>
    <w:sig w:usb0="A000002F" w:usb1="1000205B" w:usb2="00000000" w:usb3="00000000" w:csb0="00000093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E3592" w14:textId="77777777" w:rsidR="00875E6D" w:rsidRDefault="00875E6D" w:rsidP="00E243D4">
      <w:pPr>
        <w:spacing w:after="0" w:line="240" w:lineRule="auto"/>
      </w:pPr>
      <w:r>
        <w:separator/>
      </w:r>
    </w:p>
  </w:footnote>
  <w:footnote w:type="continuationSeparator" w:id="0">
    <w:p w14:paraId="64DF0735" w14:textId="77777777" w:rsidR="00875E6D" w:rsidRDefault="00875E6D" w:rsidP="00E24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05E68"/>
    <w:multiLevelType w:val="hybridMultilevel"/>
    <w:tmpl w:val="9696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93077"/>
    <w:multiLevelType w:val="hybridMultilevel"/>
    <w:tmpl w:val="2088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C1747"/>
    <w:multiLevelType w:val="hybridMultilevel"/>
    <w:tmpl w:val="0470A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AC"/>
    <w:rsid w:val="00005A56"/>
    <w:rsid w:val="000074A3"/>
    <w:rsid w:val="00057F39"/>
    <w:rsid w:val="00064615"/>
    <w:rsid w:val="00075532"/>
    <w:rsid w:val="000B22DB"/>
    <w:rsid w:val="000C08FA"/>
    <w:rsid w:val="000C7403"/>
    <w:rsid w:val="000E4B5B"/>
    <w:rsid w:val="00165A8D"/>
    <w:rsid w:val="00190356"/>
    <w:rsid w:val="001D14E3"/>
    <w:rsid w:val="001E56F4"/>
    <w:rsid w:val="0020392B"/>
    <w:rsid w:val="00270CEB"/>
    <w:rsid w:val="00285643"/>
    <w:rsid w:val="00290AF8"/>
    <w:rsid w:val="00293781"/>
    <w:rsid w:val="002B6292"/>
    <w:rsid w:val="002B7205"/>
    <w:rsid w:val="002C52EE"/>
    <w:rsid w:val="002E670B"/>
    <w:rsid w:val="00311270"/>
    <w:rsid w:val="00396687"/>
    <w:rsid w:val="003B4718"/>
    <w:rsid w:val="003D073F"/>
    <w:rsid w:val="003D2B24"/>
    <w:rsid w:val="003E6BF5"/>
    <w:rsid w:val="004215BB"/>
    <w:rsid w:val="0043259E"/>
    <w:rsid w:val="00433706"/>
    <w:rsid w:val="004668A6"/>
    <w:rsid w:val="00472595"/>
    <w:rsid w:val="00476834"/>
    <w:rsid w:val="004820E8"/>
    <w:rsid w:val="00495925"/>
    <w:rsid w:val="004978EC"/>
    <w:rsid w:val="004A1847"/>
    <w:rsid w:val="00517F41"/>
    <w:rsid w:val="00525CCD"/>
    <w:rsid w:val="00537EE7"/>
    <w:rsid w:val="005A6F27"/>
    <w:rsid w:val="005B654A"/>
    <w:rsid w:val="005E3FD0"/>
    <w:rsid w:val="00605A92"/>
    <w:rsid w:val="006107CA"/>
    <w:rsid w:val="00635E8A"/>
    <w:rsid w:val="00666C09"/>
    <w:rsid w:val="0066701D"/>
    <w:rsid w:val="006F07C3"/>
    <w:rsid w:val="006F479C"/>
    <w:rsid w:val="00705283"/>
    <w:rsid w:val="0071647E"/>
    <w:rsid w:val="00760683"/>
    <w:rsid w:val="007A32D3"/>
    <w:rsid w:val="007D116C"/>
    <w:rsid w:val="00875E6D"/>
    <w:rsid w:val="00880059"/>
    <w:rsid w:val="008B4549"/>
    <w:rsid w:val="008B7710"/>
    <w:rsid w:val="008C3D34"/>
    <w:rsid w:val="008E174E"/>
    <w:rsid w:val="008F27BC"/>
    <w:rsid w:val="009362CF"/>
    <w:rsid w:val="009845BC"/>
    <w:rsid w:val="009A2D4C"/>
    <w:rsid w:val="009C3DCB"/>
    <w:rsid w:val="009D1B85"/>
    <w:rsid w:val="009F3334"/>
    <w:rsid w:val="009F36E6"/>
    <w:rsid w:val="00A11247"/>
    <w:rsid w:val="00A150AC"/>
    <w:rsid w:val="00A26784"/>
    <w:rsid w:val="00A37827"/>
    <w:rsid w:val="00A42D76"/>
    <w:rsid w:val="00A5448F"/>
    <w:rsid w:val="00A94677"/>
    <w:rsid w:val="00AA743D"/>
    <w:rsid w:val="00AC03F9"/>
    <w:rsid w:val="00AE78D2"/>
    <w:rsid w:val="00AF10AA"/>
    <w:rsid w:val="00B12744"/>
    <w:rsid w:val="00B46A78"/>
    <w:rsid w:val="00B57505"/>
    <w:rsid w:val="00B645B1"/>
    <w:rsid w:val="00B96B5F"/>
    <w:rsid w:val="00BA2F81"/>
    <w:rsid w:val="00BC502C"/>
    <w:rsid w:val="00BD09B8"/>
    <w:rsid w:val="00C07A18"/>
    <w:rsid w:val="00C4085E"/>
    <w:rsid w:val="00C5793E"/>
    <w:rsid w:val="00C90DDC"/>
    <w:rsid w:val="00C96DB9"/>
    <w:rsid w:val="00D149E5"/>
    <w:rsid w:val="00D33F3C"/>
    <w:rsid w:val="00D44AF4"/>
    <w:rsid w:val="00D5041D"/>
    <w:rsid w:val="00D5565E"/>
    <w:rsid w:val="00D62674"/>
    <w:rsid w:val="00D7177A"/>
    <w:rsid w:val="00D869CB"/>
    <w:rsid w:val="00D960DC"/>
    <w:rsid w:val="00DA3D1C"/>
    <w:rsid w:val="00DF0718"/>
    <w:rsid w:val="00E243D4"/>
    <w:rsid w:val="00E45336"/>
    <w:rsid w:val="00E50BED"/>
    <w:rsid w:val="00E50D03"/>
    <w:rsid w:val="00E524F9"/>
    <w:rsid w:val="00E564D9"/>
    <w:rsid w:val="00E651CB"/>
    <w:rsid w:val="00E8453D"/>
    <w:rsid w:val="00EB14DB"/>
    <w:rsid w:val="00FB0B0A"/>
    <w:rsid w:val="00FE3732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EDA4"/>
  <w15:chartTrackingRefBased/>
  <w15:docId w15:val="{4291F192-1612-4FC9-B24E-64E24E65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50A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24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43D4"/>
  </w:style>
  <w:style w:type="paragraph" w:styleId="AltBilgi">
    <w:name w:val="footer"/>
    <w:basedOn w:val="Normal"/>
    <w:link w:val="AltBilgiChar"/>
    <w:uiPriority w:val="99"/>
    <w:unhideWhenUsed/>
    <w:rsid w:val="00E24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43D4"/>
  </w:style>
  <w:style w:type="character" w:styleId="AklamaBavurusu">
    <w:name w:val="annotation reference"/>
    <w:basedOn w:val="VarsaylanParagrafYazTipi"/>
    <w:uiPriority w:val="99"/>
    <w:semiHidden/>
    <w:unhideWhenUsed/>
    <w:rsid w:val="004A184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A184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A1847"/>
    <w:rPr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A184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A1847"/>
    <w:rPr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1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1847"/>
    <w:rPr>
      <w:rFonts w:ascii="Segoe UI" w:hAnsi="Segoe UI" w:cs="Segoe UI"/>
      <w:sz w:val="18"/>
      <w:szCs w:val="18"/>
      <w:lang w:val="tr-TR"/>
    </w:rPr>
  </w:style>
  <w:style w:type="paragraph" w:styleId="NormalWeb">
    <w:name w:val="Normal (Web)"/>
    <w:basedOn w:val="Normal"/>
    <w:uiPriority w:val="99"/>
    <w:unhideWhenUsed/>
    <w:rsid w:val="002B7205"/>
    <w:pPr>
      <w:spacing w:before="100" w:beforeAutospacing="1" w:after="100" w:afterAutospacing="1" w:line="240" w:lineRule="auto"/>
    </w:pPr>
    <w:rPr>
      <w:rFonts w:ascii="Calibri" w:hAnsi="Calibri" w:cs="Calibri"/>
      <w:lang w:eastAsia="tr-TR"/>
    </w:rPr>
  </w:style>
  <w:style w:type="paragraph" w:styleId="AralkYok">
    <w:name w:val="No Spacing"/>
    <w:uiPriority w:val="1"/>
    <w:qFormat/>
    <w:rsid w:val="005B654A"/>
    <w:pPr>
      <w:spacing w:after="0" w:line="240" w:lineRule="auto"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8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imon-Kucher">
  <a:themeElements>
    <a:clrScheme name="Simon-Kucher">
      <a:dk1>
        <a:srgbClr val="39322B"/>
      </a:dk1>
      <a:lt1>
        <a:srgbClr val="FFFFFF"/>
      </a:lt1>
      <a:dk2>
        <a:srgbClr val="EBE6D1"/>
      </a:dk2>
      <a:lt2>
        <a:srgbClr val="D4C896"/>
      </a:lt2>
      <a:accent1>
        <a:srgbClr val="C0C0C0"/>
      </a:accent1>
      <a:accent2>
        <a:srgbClr val="95374B"/>
      </a:accent2>
      <a:accent3>
        <a:srgbClr val="395571"/>
      </a:accent3>
      <a:accent4>
        <a:srgbClr val="A5BBD1"/>
      </a:accent4>
      <a:accent5>
        <a:srgbClr val="8A7A6C"/>
      </a:accent5>
      <a:accent6>
        <a:srgbClr val="EEE767"/>
      </a:accent6>
      <a:hlink>
        <a:srgbClr val="95374B"/>
      </a:hlink>
      <a:folHlink>
        <a:srgbClr val="C0C0C0"/>
      </a:folHlink>
    </a:clrScheme>
    <a:fontScheme name="SimonKucher">
      <a:majorFont>
        <a:latin typeface="SimonKucher"/>
        <a:ea typeface=""/>
        <a:cs typeface=""/>
      </a:majorFont>
      <a:minorFont>
        <a:latin typeface="SimonKucher"/>
        <a:ea typeface=""/>
        <a:cs typeface=""/>
      </a:minorFont>
    </a:fontScheme>
    <a:fmtScheme name="Simon-Kucher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 w="9525">
          <a:noFill/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rgbClr val="6D6E6A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179388" indent="-179388">
          <a:spcBef>
            <a:spcPts val="600"/>
          </a:spcBef>
          <a:buFont typeface="Wingdings" panose="05000000000000000000" pitchFamily="2" charset="2"/>
          <a:buChar char="§"/>
          <a:defRPr sz="1400" dirty="0" err="1" smtClean="0"/>
        </a:defPPr>
      </a:lstStyle>
    </a:txDef>
  </a:objectDefaults>
  <a:extraClrSchemeLst/>
  <a:custClrLst>
    <a:custClr name="Simon-Kucher Red">
      <a:srgbClr val="95374B"/>
    </a:custClr>
    <a:custClr name="Simon-Kucher Grey">
      <a:srgbClr val="6D6E6A"/>
    </a:custClr>
    <a:custClr name="Red">
      <a:srgbClr val="FF0000"/>
    </a:custClr>
    <a:custClr name="Orange">
      <a:srgbClr val="FFC000"/>
    </a:custClr>
    <a:custClr name="Green">
      <a:srgbClr val="00B050"/>
    </a:custClr>
  </a:custClrLst>
  <a:extLst>
    <a:ext uri="{05A4C25C-085E-4340-85A3-A5531E510DB2}">
      <thm15:themeFamily xmlns:thm15="http://schemas.microsoft.com/office/thememl/2012/main" name="Simon-Kucher" id="{3A9CFB6A-A476-47C1-B1D4-15EF1FC4BF2A}" vid="{EE0814E5-A60D-434A-8B5B-330B10B3D09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6F1BB-9F0C-42A7-B296-8F884CD1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1216</Words>
  <Characters>6937</Characters>
  <Application>Microsoft Office Word</Application>
  <DocSecurity>0</DocSecurity>
  <Lines>57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Simon - Kucher &amp; Partners</Company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Aydin</dc:creator>
  <cp:keywords/>
  <dc:description/>
  <cp:lastModifiedBy>duygu</cp:lastModifiedBy>
  <cp:revision>2</cp:revision>
  <dcterms:created xsi:type="dcterms:W3CDTF">2021-02-14T13:52:00Z</dcterms:created>
  <dcterms:modified xsi:type="dcterms:W3CDTF">2021-02-14T13:52:00Z</dcterms:modified>
</cp:coreProperties>
</file>